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tnohrrs1ovx8" w:id="0"/>
      <w:bookmarkEnd w:id="0"/>
      <w:r w:rsidDel="00000000" w:rsidR="00000000" w:rsidRPr="00000000">
        <w:rPr>
          <w:rtl w:val="0"/>
        </w:rPr>
        <w:t xml:space="preserve">CRITÉRIOS DE EXCLUSÃO DO PROGRAMA GLOBAL REDD EARLY MOVERS MATO GROSSO</w:t>
      </w:r>
    </w:p>
    <w:tbl>
      <w:tblPr>
        <w:tblStyle w:val="Table1"/>
        <w:tblW w:w="14730.0" w:type="dxa"/>
        <w:jc w:val="left"/>
        <w:tblInd w:w="-708.000000000000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6"/>
        <w:gridCol w:w="6714.000000000001"/>
        <w:gridCol w:w="5910"/>
        <w:tblGridChange w:id="0">
          <w:tblGrid>
            <w:gridCol w:w="2106"/>
            <w:gridCol w:w="6714.000000000001"/>
            <w:gridCol w:w="5910"/>
          </w:tblGrid>
        </w:tblGridChange>
      </w:tblGrid>
      <w:tr>
        <w:trPr>
          <w:cantSplit w:val="0"/>
          <w:trHeight w:val="420" w:hRule="atLeast"/>
          <w:tblHeader w:val="0"/>
        </w:trPr>
        <w:tc>
          <w:tcPr>
            <w:vMerge w:val="restart"/>
            <w:shd w:fill="434343"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Geral</w:t>
            </w:r>
          </w:p>
          <w:p w:rsidR="00000000" w:rsidDel="00000000" w:rsidP="00000000" w:rsidRDefault="00000000" w:rsidRPr="00000000" w14:paraId="00000003">
            <w:pPr>
              <w:widowControl w:val="0"/>
              <w:spacing w:after="0" w:before="0" w:line="240" w:lineRule="auto"/>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 que não estão em conformidade com diretrizes, princípios e salvaguardas estabelecidas para o mecanismo de REDD+ no âmbito dos Objetivos de Desenvolvimento Sustentável (ODS), Convenção Quadro das Nações Unidas sobre a Mudança do Clima (UNFCCC), Estratégia Nacional para REDD+ (ENREDD+) e Sistema Estadual de REDD+ de Mato Grosso (SisREDD+ MT).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11.704, de 14 de setembro de 2023 (Institui a Comissão Nacional para os Objetivos de Desenvolvimento Sustentável - CNODS).</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Federal 2.652, de 1 de julho de 1998 (Promulga a Convenção-Quadro das Nações Unidas sobre Mudança do Clima - CQNUMC).</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11.548, de 5 de junho de 2023 (Institui a Comissão Nacional para REDD+ - CONAREDD+).</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Ordinária 9.878, de 7 de janeiro de 2013 (Sistema Estadual de REDD+ de Mato Grosso - SisREDD+ </w:t>
            </w:r>
            <w:r w:rsidDel="00000000" w:rsidR="00000000" w:rsidRPr="00000000">
              <w:rPr>
                <w:sz w:val="20"/>
                <w:szCs w:val="20"/>
                <w:rtl w:val="0"/>
              </w:rPr>
              <w:t xml:space="preserve">MT</w:t>
            </w:r>
            <w:r w:rsidDel="00000000" w:rsidR="00000000" w:rsidRPr="00000000">
              <w:rPr>
                <w:sz w:val="20"/>
                <w:szCs w:val="20"/>
                <w:rtl w:val="0"/>
              </w:rPr>
              <w:t xml:space="preserve">)</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e projetos que não contribuem para os objetivos do Programa e de seus subprogramas, de mitigação da mudança do clima, redução das emissões de gases de efeito estufa, conservação da floresta, de recuperação dos ecossistemas florestais, desenvolvimento de uma economia florestal sustentável de baixo carbono ou benefícios econômicos, sociais e ambientais.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w:t>
            </w:r>
            <w:r w:rsidDel="00000000" w:rsidR="00000000" w:rsidRPr="00000000">
              <w:rPr>
                <w:sz w:val="20"/>
                <w:szCs w:val="20"/>
                <w:rtl w:val="0"/>
              </w:rPr>
              <w:t xml:space="preserve">A</w:t>
            </w:r>
            <w:r w:rsidDel="00000000" w:rsidR="00000000" w:rsidRPr="00000000">
              <w:rPr>
                <w:sz w:val="20"/>
                <w:szCs w:val="20"/>
                <w:rtl w:val="0"/>
              </w:rPr>
              <w:t xml:space="preserve"> - 1.1 - Ações complementares ou consistentes com os objetivos dos programas florestais nacionais e outras convenções e acordos internacionais relevantes relativos à REDD+.</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É vedada a utilização dos recursos auferidos para finalidades distintas dos objetivos do Programa.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vMerge w:val="restart"/>
            <w:shd w:fill="000000"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b w:val="1"/>
                <w:bCs w:val="1"/>
                <w:color w:val="ffffff"/>
              </w:rPr>
            </w:pPr>
            <w:r w:rsidDel="00000000" w:rsidR="00000000" w:rsidRPr="00000000">
              <w:rPr>
                <w:b w:val="1"/>
                <w:bCs w:val="1"/>
                <w:color w:val="ffffff"/>
                <w:rtl w:val="0"/>
              </w:rPr>
              <w:t xml:space="preserve">Povos e Comunidades</w:t>
            </w:r>
          </w:p>
          <w:p w:rsidR="00000000" w:rsidDel="00000000" w:rsidP="00000000" w:rsidRDefault="00000000" w:rsidRPr="00000000" w14:paraId="00000013">
            <w:pPr>
              <w:widowControl w:val="0"/>
              <w:spacing w:after="0" w:before="0" w:line="240" w:lineRule="auto"/>
              <w:rPr>
                <w:b w:val="1"/>
                <w:bCs w:val="1"/>
                <w:color w:val="ffffff"/>
              </w:rPr>
            </w:pPr>
            <w:r w:rsidDel="00000000" w:rsidR="00000000" w:rsidRPr="00000000">
              <w:rPr>
                <w:b w:val="1"/>
                <w:bCs w:val="1"/>
                <w:color w:val="ffffff"/>
                <w:rtl w:val="0"/>
              </w:rPr>
              <w:t xml:space="preserve">Tradicionais e</w:t>
            </w:r>
          </w:p>
          <w:p w:rsidR="00000000" w:rsidDel="00000000" w:rsidP="00000000" w:rsidRDefault="00000000" w:rsidRPr="00000000" w14:paraId="00000014">
            <w:pPr>
              <w:widowControl w:val="0"/>
              <w:spacing w:after="0" w:before="0" w:line="240" w:lineRule="auto"/>
              <w:rPr>
                <w:b w:val="1"/>
                <w:bCs w:val="1"/>
                <w:color w:val="ffffff"/>
              </w:rPr>
            </w:pPr>
            <w:r w:rsidDel="00000000" w:rsidR="00000000" w:rsidRPr="00000000">
              <w:rPr>
                <w:b w:val="1"/>
                <w:bCs w:val="1"/>
                <w:color w:val="ffffff"/>
                <w:rtl w:val="0"/>
              </w:rPr>
              <w:t xml:space="preserve">Agricultores</w:t>
            </w:r>
          </w:p>
          <w:p w:rsidR="00000000" w:rsidDel="00000000" w:rsidP="00000000" w:rsidRDefault="00000000" w:rsidRPr="00000000" w14:paraId="00000015">
            <w:pPr>
              <w:widowControl w:val="0"/>
              <w:spacing w:after="0" w:before="0" w:line="240" w:lineRule="auto"/>
              <w:rPr>
                <w:b w:val="1"/>
                <w:bCs w:val="1"/>
                <w:color w:val="ffffff"/>
              </w:rPr>
            </w:pPr>
            <w:r w:rsidDel="00000000" w:rsidR="00000000" w:rsidRPr="00000000">
              <w:rPr>
                <w:b w:val="1"/>
                <w:bCs w:val="1"/>
                <w:color w:val="ffffff"/>
                <w:rtl w:val="0"/>
              </w:rPr>
              <w:t xml:space="preserve">Familiares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ou empreendimentos em territórios de Povos e Comunidades Tradicionais passíveis de licenciamento, sem a anuência da comunidade.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5.051, de 19 de abril de 2004 (Promulga a Convenção 169 da Organização Internacional do Trabalho - OIT sobre Povos Indígenas e Tribais.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Art. 225, § 1º, Inciso IV da Constituição Federal de 1988.</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6938, de 31 de agosto de 1981 (Institui a Política Nacional de Meio Ambiente).</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6.040, de 7 de fevereiro de 2007 (Institui a Política Nacional de Desenvolvimento Sustentável dos Povos e Comunidades Tradicionais).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 Consulta às partes interessadas, respeitando formas tradicionais de decisão e governança dos povos indígenas, comunidades tradicionais e agricultores familiares.</w:t>
            </w:r>
            <w:r w:rsidDel="00000000" w:rsidR="00000000" w:rsidRPr="00000000">
              <w:rPr>
                <w:rtl w:val="0"/>
              </w:rPr>
            </w:r>
          </w:p>
        </w:tc>
      </w:tr>
      <w:tr>
        <w:trPr>
          <w:cantSplit w:val="0"/>
          <w:trHeight w:val="420" w:hRule="atLeast"/>
          <w:tblHeader w:val="0"/>
        </w:trPr>
        <w:tc>
          <w:tcPr>
            <w:vMerge w:val="continue"/>
            <w:shd w:fill="000000"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sejam vedadas por Lei e/ou pelo Plano de Gestão (ou Plano de Manejo) das Unidades de Conservação.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9.985, de 18 de julho de 2000 (Institui o Sistema Nacional de Unidades de Conservação da Natureza e dá outras providências), Art. 2o, XVII.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A - 1.1 Ações complementares ou consistentes com os objetivos dos programas florestais nacionais e outras convenções e acordos internacionais relevantes relativos à REDD+.</w:t>
            </w:r>
          </w:p>
        </w:tc>
      </w:tr>
      <w:tr>
        <w:trPr>
          <w:cantSplit w:val="0"/>
          <w:trHeight w:val="420" w:hRule="atLeast"/>
          <w:tblHeader w:val="0"/>
        </w:trPr>
        <w:tc>
          <w:tcPr>
            <w:vMerge w:val="continue"/>
            <w:shd w:fill="000000"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Iniciativas/Projetos que não assegurem a participação da comunidade na tomada de decisão, das etapas de formulação e acompanhamento da implementação.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do Banco Mundial).</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Consulta às partes interessadas, respeitando formas tradicionais de decisão e governança dos povos indígenas, comunidades tradicionais e agricultores </w:t>
            </w:r>
            <w:r w:rsidDel="00000000" w:rsidR="00000000" w:rsidRPr="00000000">
              <w:rPr>
                <w:sz w:val="20"/>
                <w:szCs w:val="20"/>
                <w:rtl w:val="0"/>
              </w:rPr>
              <w:t xml:space="preserve">familiares</w:t>
            </w:r>
            <w:r w:rsidDel="00000000" w:rsidR="00000000" w:rsidRPr="00000000">
              <w:rPr>
                <w:rtl w:val="0"/>
              </w:rPr>
            </w:r>
          </w:p>
        </w:tc>
      </w:tr>
      <w:tr>
        <w:trPr>
          <w:cantSplit w:val="0"/>
          <w:trHeight w:val="420" w:hRule="atLeast"/>
          <w:tblHeader w:val="0"/>
        </w:trPr>
        <w:tc>
          <w:tcPr>
            <w:vMerge w:val="restart"/>
            <w:shd w:fill="434343"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Povos Indígenas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sejam vedadas por Lei e/ou pelo Plano de Gestão de Terras Indígenas.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 (art. 231).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6.001, de 19 de dezembro de 1973 (Dispõe sobre o Estatuto do Índio).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7.747, de 5 de junho de 2012 (Institui a Política Nacional de Gestão Territorial e Ambiental de Terras Indígenas – PNGATI).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C - 3.1 Povos indígenas, comunidades locais e agricultores familiares são devidamente identificados, tendo seus direitos à propriedade da terra e territórios respeitados e </w:t>
            </w:r>
            <w:r w:rsidDel="00000000" w:rsidR="00000000" w:rsidRPr="00000000">
              <w:rPr>
                <w:sz w:val="20"/>
                <w:szCs w:val="20"/>
                <w:rtl w:val="0"/>
              </w:rPr>
              <w:t xml:space="preserve">garantidos</w:t>
            </w:r>
            <w:r w:rsidDel="00000000" w:rsidR="00000000" w:rsidRPr="00000000">
              <w:rPr>
                <w:sz w:val="20"/>
                <w:szCs w:val="20"/>
                <w:rtl w:val="0"/>
              </w:rPr>
              <w:t xml:space="preserve">.</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Atividades/Projetos que sejam propostos sem a anuência ou consentimento livre, prévio e informado, bem como, sem o seu devido registro.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Consulta às partes interessadas, respeitando formas tradicionais de decisão e governança dos povos indígenas, comunidades tradicionais e agricultores </w:t>
            </w:r>
            <w:r w:rsidDel="00000000" w:rsidR="00000000" w:rsidRPr="00000000">
              <w:rPr>
                <w:sz w:val="20"/>
                <w:szCs w:val="20"/>
                <w:rtl w:val="0"/>
              </w:rPr>
              <w:t xml:space="preserve">familiares</w:t>
            </w:r>
            <w:r w:rsidDel="00000000" w:rsidR="00000000" w:rsidRPr="00000000">
              <w:rPr>
                <w:sz w:val="20"/>
                <w:szCs w:val="20"/>
                <w:rtl w:val="0"/>
              </w:rPr>
              <w:t xml:space="preserve">.</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Iniciativas/Projetos que não assegurem a participação da comunidade na tomada de decisão, das etapas de formulação e acompanhamento da implementação.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de 2016 do Banco Mundial). </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C - 3.1 Povos indígenas, comunidades locais e agricultores familiares são devidamente identificados, tendo seus direitos à propriedade da terra e territórios respeitados e garantidos.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Consulta às partes interessadas, respeitando formas tradicionais de decisão e governança dos povos indígenas, comunidades tradicionais e agricultores familiares.</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Iniciativa/Projetos que promovam a prática da caça, pesca ou coleta de frutos, assim como de atividade agropecuária ou extrativa por pessoas estranhas à comunidade indígena ou em desacordo com usos, costumes e tradições das comunidades indígenas.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 (art. 231).</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6.001, de 19 de dezembro de 1973 (Dispõe sobre o Estatuto do Índio).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7.747, de 5 de junho de 2012 (Institui a Política Nacional de Gestão Territorial e Ambiental de Terras Indígenas – PNGATI).</w:t>
            </w: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Produção Sustentável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ou empreendimentos que necessitem de licenciamento, sem a anuência da comunidade.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de 2016 do Banco Mundial).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sejam vedadas por Lei em Assentamentos da Reforma Agrária e Imóveis Rurais.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8.629, de 25 de fevereiro de 1993 (Regulamenta os dispositivos constitucionais relativos à reforma agrária da Constituição Federal).</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Normas do Instituto Nacional de Colonização e Reforma Agrária (Incra): Instrução Normativa 136/2023 (modalidade PAE); Instrução Normativa 112/2021 (anuência quanto ao uso de áreas em projetos de assentamento do instituto, para o desenvolvimento de atividades), dentre outras.</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4.504, de 30 de novembro de 1964 (Dispõe sobre o Estatuto da Terra, e dá outras </w:t>
            </w:r>
            <w:r w:rsidDel="00000000" w:rsidR="00000000" w:rsidRPr="00000000">
              <w:rPr>
                <w:sz w:val="20"/>
                <w:szCs w:val="20"/>
                <w:rtl w:val="0"/>
              </w:rPr>
              <w:t xml:space="preserve">providências</w:t>
            </w:r>
            <w:r w:rsidDel="00000000" w:rsidR="00000000" w:rsidRPr="00000000">
              <w:rPr>
                <w:sz w:val="20"/>
                <w:szCs w:val="20"/>
                <w:rtl w:val="0"/>
              </w:rPr>
              <w:t xml:space="preserve">).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 que não assegurem a participação da comunidade na tomada de decisão, das etapas de formulação, implementação e acompanhamento das atividades do projeto.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10 (Normas Ambientais e Sociais do Quadro Ambiental e Social de 2016 do Banco Mundial).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- 4.1 - Consulta às partes interessadas, respeitando formas tradicionais de decisão e governança dos povos indígenas, comunidades tradicionais e agricultores familiares.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Beneficiário que possua mais de 15 módulos fiscais em seu patrimônio.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MOP REM MT - Subprograma C - Produção Sustentável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Propriedades acima de 4 módulos fiscais, sem Cadastro Ambiental Rural.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11.326, de 24 de julho de 2006 (Estabelece as diretrizes para a formulação da Política Nacional da Agricultura Familiar e Empreendimentos Familiares Rurais).</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MOP REM MT - Subprograma A: Agricultura Familiar e de Povos e Comunidades Tradicionais</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Unidades de Conservação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Planejar, fomentar ou implementar atividades produtivas e serviços ambientais dentro das Unidades de Conservação sem o conhecimento, participação ou acompanhamento do órgão gestor e sem alinhamento ao Plano de Manejo, quando existente.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9.985, de 18 de julho de 2000 (instituiu o Sistema Nacional de Unidades de Conservação da Natureza e pelo Decreto 4.340, de 22 de agosto de 2002). </w:t>
            </w: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Desmatamento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Qualquer atividade com risco de gerar novos desmatamentos ou degradação ambiental.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F - 6.1. O risco de reversões está integrado na concepção, implementação e avaliações do Programa, por meio do monitoramento contínuo e controle efetivo do desmatamento.</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envolvam a destruição, conversão ou degradação de florestas primárias, hábitats naturais e outros recursos naturais; ou seja, atividades que levem à: </w:t>
            </w:r>
          </w:p>
          <w:p w:rsidR="00000000" w:rsidDel="00000000" w:rsidP="00000000" w:rsidRDefault="00000000" w:rsidRPr="00000000" w14:paraId="0000006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Destruição ou conversão de florestas primárias; </w:t>
            </w:r>
          </w:p>
          <w:p w:rsidR="00000000" w:rsidDel="00000000" w:rsidP="00000000" w:rsidRDefault="00000000" w:rsidRPr="00000000" w14:paraId="0000006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Degradação de florestas; </w:t>
            </w:r>
          </w:p>
          <w:p w:rsidR="00000000" w:rsidDel="00000000" w:rsidP="00000000" w:rsidRDefault="00000000" w:rsidRPr="00000000" w14:paraId="0000006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Conversão ou degradação de outros habitats naturais e outros recursos naturais (Cerrado, Pantanal, ambientes aquáticos etc.).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A - 1.1 Ações complementares ou consistentes com os objetivos dos programas florestais nacionais e outras convenções e acordos internacionais relevantes relativos à REDD+.</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E - 5.1. Conservação e uso sustentável de ecossistemas naturais, sua biodiversidade e seus serviços ecossistêmicos.</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implicam a coleta, extração, caça, pesca ou colheita insustentável de recursos naturais (animais, plantas, madeira e/ou produtos florestais não-madeireiros).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A - 1.1 Ações complementares ou consistentes com os objetivos dos programas florestais nacionais e outras convenções e acordos internacionais relevantes relativos à REDD+.</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E - 5.1 Conservação e uso sustentável de ecossistemas naturais, sua biodiversidade e seus serviços ecossistêmicos.</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Custeio de produção em projetos orientados para grandes cadeias de commodities (grãos, fibras, florestas plantadas, biocombustíveis e pecuária de corte), incluindo aquisição de insumos e sementes, em propriedades não familiares e/ou acima de 15 módulos fiscais.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estabelecem novas estradas ou ramais dentro de habitats naturais e áreas protegidas existentes ou propostas, exceto em casos previstos na Lei, como de utilidade pública, interesse social e de baixo impacto ambiental.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Beneficiários com áreas embargadas e/ou áreas com desmatamento não autorizado ocorrido depois de 22 de julho de 2008, não regularizadas ou em processo de regularização.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12.651, de 25 de maio de 2012 (Dispõe sobre a proteção da vegetação nativa).</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 </w:t>
            </w:r>
          </w:p>
        </w:tc>
      </w:tr>
      <w:tr>
        <w:trPr>
          <w:cantSplit w:val="0"/>
          <w:trHeight w:val="420" w:hRule="atLeast"/>
          <w:tblHeader w:val="0"/>
        </w:trPr>
        <w:tc>
          <w:tcPr>
            <w:vMerge w:val="restart"/>
            <w:shd w:fill="434343"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Biodiversidade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Introdução de espécies exóticas, a menos que estejam estabelecidas na região tecnicamente e culturalmente ou conhecidas de contextos semelhantes e comprovadas como não invasoras e a menos que reforcem a sua competitividade econômica em comparação com espécies e variedades nativas/endógenas.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Qualquer atividade com risco de redução de diversidade biológica tais como: </w:t>
            </w:r>
          </w:p>
          <w:p w:rsidR="00000000" w:rsidDel="00000000" w:rsidP="00000000" w:rsidRDefault="00000000" w:rsidRPr="00000000" w14:paraId="0000008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Perda de florestas primárias, hábitats naturais e outros recursos naturais; </w:t>
            </w:r>
          </w:p>
          <w:p w:rsidR="00000000" w:rsidDel="00000000" w:rsidP="00000000" w:rsidRDefault="00000000" w:rsidRPr="00000000" w14:paraId="0000008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Uso de animais silvestres para ensaios experimentais; </w:t>
            </w:r>
          </w:p>
          <w:p w:rsidR="00000000" w:rsidDel="00000000" w:rsidP="00000000" w:rsidRDefault="00000000" w:rsidRPr="00000000" w14:paraId="0000008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sz w:val="20"/>
                <w:szCs w:val="20"/>
              </w:rPr>
            </w:pPr>
            <w:r w:rsidDel="00000000" w:rsidR="00000000" w:rsidRPr="00000000">
              <w:rPr>
                <w:sz w:val="20"/>
                <w:szCs w:val="20"/>
                <w:rtl w:val="0"/>
              </w:rPr>
              <w:t xml:space="preserve">Espécies que podem ser vetores ou que tragam doenças.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4 e 6 (Normas Ambientais e Sociais do Quadro Ambiental e Social do Banco Mundial).</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E - 5.1 Conservação e uso sustentável de ecossistemas naturais, sua biodiversidade e seus serviços ecossistêmicos.</w:t>
            </w:r>
          </w:p>
        </w:tc>
      </w:tr>
      <w:tr>
        <w:trPr>
          <w:cantSplit w:val="0"/>
          <w:trHeight w:val="420" w:hRule="atLeast"/>
          <w:tblHeader w:val="0"/>
        </w:trPr>
        <w:tc>
          <w:tcPr>
            <w:vMerge w:val="continue"/>
            <w:shd w:fill="434343"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implicam no uso e na introdução de sementes geneticamente modificadas por transgenia e/ou que criem dependência exclusiva e contratual (para a população local) em sementes fornecidas por empresas multinacionais.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Poluição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implicam a produção, compra e comércio de farmacêuticos, pesticidas/herbicidas, químicos, substâncias que destroem o ozônio e outras substâncias perigosas que estão sujeitas a proibições internacionais, principalmente aquelas que estão descritas nas convenções das quais o Brasil é signatário.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NAS 3 (Normas Ambientais e Sociais do Quadro Ambiental e Social do Banco Mundial) Substâncias listadas na Convenção de Estocolmo (</w:t>
            </w:r>
            <w:hyperlink r:id="rId6">
              <w:r w:rsidDel="00000000" w:rsidR="00000000" w:rsidRPr="00000000">
                <w:rPr>
                  <w:color w:val="1155cc"/>
                  <w:sz w:val="20"/>
                  <w:szCs w:val="20"/>
                  <w:u w:val="single"/>
                  <w:rtl w:val="0"/>
                </w:rPr>
                <w:t xml:space="preserve">http://www.pops.int/TheConvention/Overview/TextoftheConvention/tabid/2232/Default.aspx</w:t>
              </w:r>
            </w:hyperlink>
            <w:r w:rsidDel="00000000" w:rsidR="00000000" w:rsidRPr="00000000">
              <w:rPr>
                <w:sz w:val="20"/>
                <w:szCs w:val="20"/>
                <w:rtl w:val="0"/>
              </w:rPr>
              <w:t xml:space="preserv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Convenção de Rotterdam (</w:t>
            </w:r>
            <w:hyperlink r:id="rId7">
              <w:r w:rsidDel="00000000" w:rsidR="00000000" w:rsidRPr="00000000">
                <w:rPr>
                  <w:color w:val="1155cc"/>
                  <w:sz w:val="20"/>
                  <w:szCs w:val="20"/>
                  <w:u w:val="single"/>
                  <w:rtl w:val="0"/>
                </w:rPr>
                <w:t xml:space="preserve">http://www.pic.int/Implementation/PICCircular/tabid/1168/language/en-US/Default.aspx</w:t>
              </w:r>
            </w:hyperlink>
            <w:r w:rsidDel="00000000" w:rsidR="00000000" w:rsidRPr="00000000">
              <w:rPr>
                <w:sz w:val="20"/>
                <w:szCs w:val="20"/>
                <w:rtl w:val="0"/>
              </w:rPr>
              <w:t xml:space="preserv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Protocolo de Montreal (</w:t>
            </w:r>
            <w:hyperlink r:id="rId8">
              <w:r w:rsidDel="00000000" w:rsidR="00000000" w:rsidRPr="00000000">
                <w:rPr>
                  <w:color w:val="1155cc"/>
                  <w:sz w:val="20"/>
                  <w:szCs w:val="20"/>
                  <w:u w:val="single"/>
                  <w:rtl w:val="0"/>
                </w:rPr>
                <w:t xml:space="preserve">https://www.planalto.gov.br/ccivil_03/decreto/1990-1994/d99280.htm#:~:text=DECRETO%20No%2099.280%2C%20DE,Destroem%20a%20Camada%20de%20Oz%C3%B4nio</w:t>
              </w:r>
            </w:hyperlink>
            <w:r w:rsidDel="00000000" w:rsidR="00000000" w:rsidRPr="00000000">
              <w:rPr>
                <w:sz w:val="20"/>
                <w:szCs w:val="20"/>
                <w:rtl w:val="0"/>
              </w:rPr>
              <w:t xml:space="preserv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definidas como extremamente ou altamente perigosas listadas nas Diretrizes de OMS de Classificação como classes I a e I b (</w:t>
            </w:r>
            <w:hyperlink r:id="rId9">
              <w:r w:rsidDel="00000000" w:rsidR="00000000" w:rsidRPr="00000000">
                <w:rPr>
                  <w:color w:val="1155cc"/>
                  <w:sz w:val="20"/>
                  <w:szCs w:val="20"/>
                  <w:u w:val="single"/>
                  <w:rtl w:val="0"/>
                </w:rPr>
                <w:t xml:space="preserve">http://www.who.int/ipcs/publications/pesticides_hazard_2009.pdf</w:t>
              </w:r>
            </w:hyperlink>
            <w:r w:rsidDel="00000000" w:rsidR="00000000" w:rsidRPr="00000000">
              <w:rPr>
                <w:sz w:val="20"/>
                <w:szCs w:val="20"/>
                <w:rtl w:val="0"/>
              </w:rPr>
              <w:t xml:space="preserve">), a menos que o usuário final tem os controles apropriados estabelecidos em relação à fabricação, aquisição ou distribuição e/ou utilização destes químicos.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definidas como moderadamente perigosas listadas nas Diretrizes de OMS de Classificação como classes II (</w:t>
            </w:r>
            <w:hyperlink r:id="rId10">
              <w:r w:rsidDel="00000000" w:rsidR="00000000" w:rsidRPr="00000000">
                <w:rPr>
                  <w:color w:val="1155cc"/>
                  <w:sz w:val="20"/>
                  <w:szCs w:val="20"/>
                  <w:u w:val="single"/>
                  <w:rtl w:val="0"/>
                </w:rPr>
                <w:t xml:space="preserve">http://www.who.int/ipcs/publications/pesticides_hazard_2009.pdf</w:t>
              </w:r>
            </w:hyperlink>
            <w:r w:rsidDel="00000000" w:rsidR="00000000" w:rsidRPr="00000000">
              <w:rPr>
                <w:sz w:val="20"/>
                <w:szCs w:val="20"/>
                <w:rtl w:val="0"/>
              </w:rPr>
              <w:t xml:space="preserve">), a menos que o usuário final tem os controles apropriados estabelecidos em relação à fabricação, aquisição ou distribuição e/ou utilização destes químicos.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definidas como altamente perigosas em acordo com a Lista FSC sobre “pesticidas altamente perigosas” (</w:t>
            </w:r>
            <w:hyperlink r:id="rId11">
              <w:r w:rsidDel="00000000" w:rsidR="00000000" w:rsidRPr="00000000">
                <w:rPr>
                  <w:color w:val="1155cc"/>
                  <w:sz w:val="20"/>
                  <w:szCs w:val="20"/>
                  <w:u w:val="single"/>
                  <w:rtl w:val="0"/>
                </w:rPr>
                <w:t xml:space="preserve">https://ic.fsc.org/preview.fsc-std-30-001a-en-fsc-list-of-highly-hazardous-pesticides.a-4050.pdf</w:t>
              </w:r>
            </w:hyperlink>
            <w:r w:rsidDel="00000000" w:rsidR="00000000" w:rsidRPr="00000000">
              <w:rPr>
                <w:sz w:val="20"/>
                <w:szCs w:val="20"/>
                <w:rtl w:val="0"/>
              </w:rPr>
              <w:t xml:space="preserve">).</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rPr>
                <w:sz w:val="20"/>
                <w:szCs w:val="20"/>
              </w:rPr>
            </w:pPr>
            <w:r w:rsidDel="00000000" w:rsidR="00000000" w:rsidRPr="00000000">
              <w:rPr>
                <w:sz w:val="20"/>
                <w:szCs w:val="20"/>
                <w:rtl w:val="0"/>
              </w:rPr>
              <w:t xml:space="preserve">Substâncias que são listadas na Convenção Singular sobre Estupefacientes (1961) e na Convenção sobre Sustâncias Psicotrópicas (1971), assim como Novas Sustâncias Psicotrópicas (NPS) definidas pelo Escritório das Nações Unidas sobre Drogas e Crime (</w:t>
            </w:r>
            <w:hyperlink r:id="rId12">
              <w:r w:rsidDel="00000000" w:rsidR="00000000" w:rsidRPr="00000000">
                <w:rPr>
                  <w:color w:val="1155cc"/>
                  <w:sz w:val="20"/>
                  <w:szCs w:val="20"/>
                  <w:u w:val="single"/>
                  <w:rtl w:val="0"/>
                </w:rPr>
                <w:t xml:space="preserve">https://www.unodc.org/documents/scientific/NPS_2013_SMART.pdf</w:t>
              </w:r>
            </w:hyperlink>
            <w:r w:rsidDel="00000000" w:rsidR="00000000" w:rsidRPr="00000000">
              <w:rPr>
                <w:sz w:val="20"/>
                <w:szCs w:val="20"/>
                <w:rtl w:val="0"/>
              </w:rPr>
              <w:t xml:space="preserve">) como sustâncias “que não são controladas pela Convenção Singular sobre Estupefacientes (1961) e pela Convenção sobre Sustâncias Psicotrópicas (1971), que representam uma ameaça para a saúde pública.</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Produção de resíduos perigosos como definido por regulamentos locais, nacionais e convenções internacionais das quais o país seja signatário (inflamabilidade, corrosividade, reatividade ou toxicidade, ou outras características físicas, químicas ou biológicas que possam representar riscos potenciais à saúde humana ou ao ambiente se indevidamente gerenciados).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3 (Normas Ambientais e Sociais do Quadro Ambiental e Social de 2016 do Banco Mundial).</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12.305, de 2 de agosto de 2010 (Institui a Política Nacional de Resíduos Sólidos).</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Regularização Ambiental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Não possuir Cadastro Ambiental Rural (CAR) ou não ter iniciado o processo de regularização ambiental (CAR e PRA), para produtores acima de quatro módulos fiscais. Exceção: este critério não se aplica para territórios de posse coletiva que não possuem regularização ambiental. Ao contrário, estes territórios seriam priorizados para regularização ambiental e para financiamento do Programa REM MT.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11.326, de 24 de julho de 2006 (Estabelece as diretrizes para a formulação da Política Nacional da Agricultura Familiar e Empreendimentos Familiares Rurais).</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Produtos ilegais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Iniciativas que estimulem a produção ou a comercialização de produtos considerados ilegais em leis ou regulamentos brasileiros ou convenções e acordos internacionais, ou sujeitos a proibições internacionais (produtos farmacêuticos, pesticidas/herbicidas, substâncias que destroem a camada de ozônio, a vida selvagem ou produtos regulados sob a Convenção sobre o Comércio Internacional de Espécies Ameaçadas de Fauna e Flora Selvagens (CITES). Comercialização de madeira ilegal. Atividades ilícitas.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3.607, de 21 de setembro de 2000 (Implementa a Cites no Brasil).</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99.280/90 (Implementa o Protocolo de Montreal no Brasil) e Resolução Conama 267, de 14 de setembro de 2000.</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9.605, de 12 de fevereiro de 1998 (Lei de crimes ambientais).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12.651, de 25 de maio de 2012 (Dispõe sobre a proteção da vegetação nativa).</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Decreto 6.514, de 22 de julho de 2008.</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Atividades, Produtos,</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serviços e empresas e</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organizações não</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apoiáveis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Produção, compra e/ou comercialização de tabaco, armas, amianto, dentre outros produtos tóxicos.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Empresas multinacionais/internacionais do agronegócio.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Organizações que têm um histórico de corrupção comprovado.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Compra e/ou comercialização de bezerros e bovinos.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Compra e/ou comercialização de motosserras.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Dívidas de organizações e/ou pessoas físicas.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Ações financiadas por outras instituições, caracterizando duplicidade/fraude.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de mineração.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Passivos ambientais gerados por empresas.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Remuneração de funcionários públicos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Pagamento de pessoas físicas (salários ou algum tipo de remuneração a agentes públicos), exceto casos previstos em Lei.</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13.243, de 11 de janeiro de 2016.</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Contrapartida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Os salários não podem ser considerados como contrapartida em projetos.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sz w:val="20"/>
                <w:szCs w:val="20"/>
              </w:rPr>
            </w:pPr>
            <w:r w:rsidDel="00000000" w:rsidR="00000000" w:rsidRPr="00000000">
              <w:rPr>
                <w:rtl w:val="0"/>
              </w:rPr>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Questões trabalhista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associadas ao trabalho escravo ou atividades análogas ao trabalho escravo.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associadas a trabalho infantil.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Ausência de conformidade com a legislação trabalhista, normas regulamentadoras e convenções ratificadas pelo Brasil.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Convenções 29, 100, 138, 155, 159, 161 e 182 da OIT, por meio dos Decretos 4.134, de 15 de fevereiro de 2002, e 3.597, de 12 de setembro de 2000, respectivamente.</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2 (Normas Ambientais e Sociais do Quadro Ambiental e Social do Banco Mundial).</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Federal 6.481, de 12 de junho de 2008 (Erradicação do Trabalho Infantil).</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w:t>
            </w:r>
          </w:p>
        </w:tc>
      </w:tr>
      <w:tr>
        <w:trPr>
          <w:cantSplit w:val="0"/>
          <w:trHeight w:val="420" w:hRule="atLeast"/>
          <w:tblHeader w:val="0"/>
        </w:trPr>
        <w:tc>
          <w:tcPr>
            <w:shd w:fill="434343"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Gênero, Geracional e Pessoas com Deficiência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de antemão excluem e discriminam mulheres, jovens (15 a 29 anos), idosos e pessoas com deficiência entre os beneficiários dos subprogramas e seus projetos.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Constituição Federal de 1988.</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13.146, de 6 de julho de 2015 - Lei Brasileira de Inclusão da Pessoa com Deficiência (Estatuto da Pessoa com Deficiência).</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Lei 7.716, de 5 de janeiro de 1989 (Define os crimes resultantes de preconceito de raça ou de cor).</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Estatuto da Juventude, Lei 12.852/2013.</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D - 4.2 Assegurar a igualdade de gênero e empoderamento das mulheres.</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b w:val="1"/>
                <w:bCs w:val="1"/>
                <w:color w:val="ffffff"/>
                <w:rtl w:val="0"/>
              </w:rPr>
              <w:t xml:space="preserve">Terras e patrimônio cultural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levem ao deslocamento econômico ou físico de comunidades.</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5 (Normas Ambientais e Sociais do Quadro Ambiental e Social de 2016 do Banco Mundial).</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Salvaguarda C - 3.1. Povos indígenas, comunidades locais e agricultores familiares são devidamente identificados, tendo seus direitos à propriedade da terra e territórios respeitados e garantidos.</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9.d.</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prejudicam a segurança e soberania alimentar dos agricultores familiares, dos povos indígenas e dos povos e comunidades tradicionais.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Objetivos do Desenvolvimento Sustentável (ODS 2. Fome Zero e Agricultura Sustentável - Acabar com a fome, alcançar a segurança alimentar e melhoria da nutrição e promover a agricultura sustentável). </w:t>
            </w:r>
          </w:p>
        </w:tc>
      </w:tr>
      <w:tr>
        <w:trPr>
          <w:cantSplit w:val="0"/>
          <w:trHeight w:val="420" w:hRule="atLeast"/>
          <w:tblHeader w:val="0"/>
        </w:trPr>
        <w:tc>
          <w:tcPr>
            <w:shd w:fill="000000"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color w:val="ffffff"/>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0"/>
                <w:szCs w:val="20"/>
              </w:rPr>
            </w:pPr>
            <w:r w:rsidDel="00000000" w:rsidR="00000000" w:rsidRPr="00000000">
              <w:rPr>
                <w:sz w:val="20"/>
                <w:szCs w:val="20"/>
                <w:rtl w:val="0"/>
              </w:rPr>
              <w:t xml:space="preserve">Atividades que prejudicariam propriedades culturais, tal como locais arqueológicos e históricos, monumentos religiosos ou cemitérios.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IBRD (International Bank for Reconstruction and Development) and IDA (International Development Association) 2022 Programfor-Results Financing Policy Program-for-Results Financing - Scope III 9.b.</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both"/>
              <w:rPr>
                <w:sz w:val="20"/>
                <w:szCs w:val="20"/>
              </w:rPr>
            </w:pPr>
            <w:r w:rsidDel="00000000" w:rsidR="00000000" w:rsidRPr="00000000">
              <w:rPr>
                <w:sz w:val="20"/>
                <w:szCs w:val="20"/>
                <w:rtl w:val="0"/>
              </w:rPr>
              <w:t xml:space="preserve">NAS 8 (Normas Ambientais e Sociais do Quadro Ambiental e Social do Banco Mundial). </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pStyle w:val="Title"/>
        <w:rPr/>
      </w:pPr>
      <w:bookmarkStart w:colFirst="0" w:colLast="0" w:name="_3a7rhqso7252" w:id="1"/>
      <w:bookmarkEnd w:id="1"/>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sectPr>
      <w:headerReference r:id="rId13" w:type="default"/>
      <w:headerReference r:id="rId14" w:type="first"/>
      <w:footerReference r:id="rId15" w:type="default"/>
      <w:footerReference r:id="rId16" w:type="first"/>
      <w:pgSz w:h="12240" w:w="15840" w:orient="landscape"/>
      <w:pgMar w:bottom="0" w:top="1133.8582677165355" w:left="1275.5905511811025" w:right="1451.3385826771655" w:header="810" w:footer="49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080"/>
        <w:tab w:val="right" w:leader="none" w:pos="9360"/>
      </w:tabs>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080"/>
        <w:tab w:val="right" w:leader="none" w:pos="9360"/>
      </w:tabs>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-1042983</wp:posOffset>
              </wp:positionH>
              <wp:positionV relativeFrom="paragraph">
                <wp:posOffset>1365282</wp:posOffset>
              </wp:positionV>
              <wp:extent cx="8029575" cy="209550"/>
              <wp:effectExtent b="0" l="0" r="0" t="0"/>
              <wp:wrapNone/>
              <wp:docPr id="4" name=""/>
              <a:graphic>
                <a:graphicData uri="http://schemas.microsoft.com/office/word/2010/wordprocessingShape">
                  <wps:wsp>
                    <wps:cNvSpPr/>
                    <wps:cNvPr id="3" name="Shape 3"/>
                    <wps:spPr>
                      <a:xfrm>
                        <a:off x="1350263" y="3694275"/>
                        <a:ext cx="7991475" cy="171450"/>
                      </a:xfrm>
                      <a:prstGeom prst="rect">
                        <a:avLst/>
                      </a:prstGeom>
                      <a:solidFill>
                        <a:srgbClr val="003C22"/>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-1042983</wp:posOffset>
              </wp:positionH>
              <wp:positionV relativeFrom="paragraph">
                <wp:posOffset>1365282</wp:posOffset>
              </wp:positionV>
              <wp:extent cx="8029575" cy="209550"/>
              <wp:effectExtent b="0" l="0" r="0" t="0"/>
              <wp:wrapNone/>
              <wp:docPr id="4"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29575" cy="209550"/>
                      </a:xfrm>
                      <a:prstGeom prst="rect"/>
                      <a:ln/>
                    </pic:spPr>
                  </pic:pic>
                </a:graphicData>
              </a:graphic>
            </wp:anchor>
          </w:drawing>
        </mc:Fallback>
      </mc:AlternateConten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1080"/>
        <w:tab w:val="right" w:leader="none" w:pos="9360"/>
      </w:tabs>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-1885949</wp:posOffset>
              </wp:positionH>
              <wp:positionV relativeFrom="paragraph">
                <wp:posOffset>449850</wp:posOffset>
              </wp:positionV>
              <wp:extent cx="11725275" cy="293100"/>
              <wp:effectExtent b="0" l="0" r="0" t="0"/>
              <wp:wrapNone/>
              <wp:docPr id="2" name=""/>
              <a:graphic>
                <a:graphicData uri="http://schemas.microsoft.com/office/word/2010/wordprocessingShape">
                  <wps:wsp>
                    <wps:cNvSpPr/>
                    <wps:cNvPr id="2" name="Shape 2"/>
                    <wps:spPr>
                      <a:xfrm>
                        <a:off x="352400" y="934875"/>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-1885949</wp:posOffset>
              </wp:positionH>
              <wp:positionV relativeFrom="paragraph">
                <wp:posOffset>449850</wp:posOffset>
              </wp:positionV>
              <wp:extent cx="11725275" cy="293100"/>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1725275" cy="29310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spacing w:before="640" w:lineRule="auto"/>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-1666572</wp:posOffset>
          </wp:positionH>
          <wp:positionV relativeFrom="paragraph">
            <wp:posOffset>927100</wp:posOffset>
          </wp:positionV>
          <wp:extent cx="7820025" cy="1065228"/>
          <wp:effectExtent b="0" l="0" r="0" t="0"/>
          <wp:wrapNone/>
          <wp:docPr id="6"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-1666572</wp:posOffset>
          </wp:positionH>
          <wp:positionV relativeFrom="paragraph">
            <wp:posOffset>927100</wp:posOffset>
          </wp:positionV>
          <wp:extent cx="7820025" cy="1065228"/>
          <wp:effectExtent b="0" l="0" r="0" t="0"/>
          <wp:wrapNone/>
          <wp:docPr id="7"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-1666572</wp:posOffset>
          </wp:positionH>
          <wp:positionV relativeFrom="paragraph">
            <wp:posOffset>927100</wp:posOffset>
          </wp:positionV>
          <wp:extent cx="7820025" cy="1065228"/>
          <wp:effectExtent b="0" l="0" r="0" t="0"/>
          <wp:wrapNone/>
          <wp:docPr id="8"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-1666572</wp:posOffset>
          </wp:positionH>
          <wp:positionV relativeFrom="paragraph">
            <wp:posOffset>927100</wp:posOffset>
          </wp:positionV>
          <wp:extent cx="7820025" cy="1065228"/>
          <wp:effectExtent b="0" l="0" r="0" t="0"/>
          <wp:wrapNone/>
          <wp:docPr id="9" name="image1.png"/>
          <a:graphic>
            <a:graphicData uri="http://schemas.openxmlformats.org/drawingml/2006/picture">
              <pic:pic>
                <pic:nvPicPr>
                  <pic:cNvPr id="0" name="image1.png"/>
                  <pic:cNvPicPr preferRelativeResize="0"/>
                </pic:nvPicPr>
                <pic:blipFill>
                  <a:blip r:embed="rId1"/>
                  <a:srcRect b="0" l="0" r="0" t="90404"/>
                  <a:stretch>
                    <a:fillRect/>
                  </a:stretch>
                </pic:blipFill>
                <pic:spPr>
                  <a:xfrm>
                    <a:off x="0" y="0"/>
                    <a:ext cx="7820025" cy="1065228"/>
                  </a:xfrm>
                  <a:prstGeom prst="rect"/>
                  <a:ln/>
                </pic:spPr>
              </pic:pic>
            </a:graphicData>
          </a:graphic>
        </wp:anchor>
      </w:drawing>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-904874</wp:posOffset>
              </wp:positionH>
              <wp:positionV relativeFrom="paragraph">
                <wp:posOffset>923925</wp:posOffset>
              </wp:positionV>
              <wp:extent cx="10325100" cy="314325"/>
              <wp:effectExtent b="0" l="0" r="0" t="0"/>
              <wp:wrapNone/>
              <wp:docPr id="3" name=""/>
              <a:graphic>
                <a:graphicData uri="http://schemas.microsoft.com/office/word/2010/wordprocessingShape">
                  <wps:wsp>
                    <wps:cNvSpPr/>
                    <wps:cNvPr id="2" name="Shape 2"/>
                    <wps:spPr>
                      <a:xfrm>
                        <a:off x="352400" y="934875"/>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-904874</wp:posOffset>
              </wp:positionH>
              <wp:positionV relativeFrom="paragraph">
                <wp:posOffset>923925</wp:posOffset>
              </wp:positionV>
              <wp:extent cx="10325100" cy="314325"/>
              <wp:effectExtent b="0" l="0" r="0" t="0"/>
              <wp:wrapNone/>
              <wp:docPr id="3"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10325100" cy="314325"/>
                      </a:xfrm>
                      <a:prstGeom prst="rect"/>
                      <a:ln/>
                    </pic:spPr>
                  </pic:pic>
                </a:graphicData>
              </a:graphic>
            </wp:anchor>
          </w:drawing>
        </mc:Fallback>
      </mc:AlternateContent>
    </w:r>
    <w:r w:rsidDel="00000000" w:rsidR="00000000" w:rsidRPr="00000000">
      <w:drawing>
        <wp:anchor allowOverlap="1" behindDoc="0" distB="114300" distT="114300" distL="114300" distR="114300" hidden="0" layoutInCell="1" locked="0" relativeHeight="0" simplePos="0">
          <wp:simplePos x="0" y="0"/>
          <wp:positionH relativeFrom="column">
            <wp:posOffset>1838325</wp:posOffset>
          </wp:positionH>
          <wp:positionV relativeFrom="paragraph">
            <wp:posOffset>133350</wp:posOffset>
          </wp:positionV>
          <wp:extent cx="5029575" cy="685800"/>
          <wp:effectExtent b="0" l="0" r="0" t="0"/>
          <wp:wrapNone/>
          <wp:docPr id="10" name="image1.png"/>
          <a:graphic>
            <a:graphicData uri="http://schemas.openxmlformats.org/drawingml/2006/picture">
              <pic:pic>
                <pic:nvPicPr>
                  <pic:cNvPr id="0" name="image1.png"/>
                  <pic:cNvPicPr preferRelativeResize="0"/>
                </pic:nvPicPr>
                <pic:blipFill>
                  <a:blip r:embed="rId1"/>
                  <a:srcRect b="2279" l="18143" r="17544" t="91557"/>
                  <a:stretch>
                    <a:fillRect/>
                  </a:stretch>
                </pic:blipFill>
                <pic:spPr>
                  <a:xfrm>
                    <a:off x="0" y="0"/>
                    <a:ext cx="5029575" cy="6858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rPr/>
    </w:pPr>
    <w:r w:rsidDel="00000000" w:rsidR="00000000" w:rsidRPr="00000000">
      <w:rPr/>
      <w:drawing>
        <wp:anchor allowOverlap="1" behindDoc="0" distB="114300" distT="114300" distL="114300" distR="114300" hidden="0" layoutInCell="1" locked="0" relativeHeight="0" simplePos="0">
          <wp:simplePos x="0" y="0"/>
          <wp:positionH relativeFrom="page">
            <wp:posOffset>8325225</wp:posOffset>
          </wp:positionH>
          <wp:positionV relativeFrom="page">
            <wp:posOffset>329220</wp:posOffset>
          </wp:positionV>
          <wp:extent cx="1375988" cy="464946"/>
          <wp:effectExtent b="0" l="0" r="0" t="0"/>
          <wp:wrapNone/>
          <wp:docPr id="11" name="image2.png"/>
          <a:graphic>
            <a:graphicData uri="http://schemas.openxmlformats.org/drawingml/2006/picture">
              <pic:pic>
                <pic:nvPicPr>
                  <pic:cNvPr id="0" name="image2.png"/>
                  <pic:cNvPicPr preferRelativeResize="0"/>
                </pic:nvPicPr>
                <pic:blipFill>
                  <a:blip r:embed="rId1"/>
                  <a:srcRect b="85088" l="0" r="63138" t="6124"/>
                  <a:stretch>
                    <a:fillRect/>
                  </a:stretch>
                </pic:blipFill>
                <pic:spPr>
                  <a:xfrm>
                    <a:off x="0" y="0"/>
                    <a:ext cx="1375988" cy="464946"/>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375</wp:posOffset>
              </wp:positionH>
              <wp:positionV relativeFrom="page">
                <wp:posOffset>7350</wp:posOffset>
              </wp:positionV>
              <wp:extent cx="10763250" cy="167640"/>
              <wp:effectExtent b="0" l="0" r="0" t="0"/>
              <wp:wrapNone/>
              <wp:docPr id="5" name=""/>
              <a:graphic>
                <a:graphicData uri="http://schemas.microsoft.com/office/word/2010/wordprocessingShape">
                  <wps:wsp>
                    <wps:cNvSpPr/>
                    <wps:cNvPr id="2" name="Shape 2"/>
                    <wps:spPr>
                      <a:xfrm>
                        <a:off x="352400" y="934875"/>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375</wp:posOffset>
              </wp:positionH>
              <wp:positionV relativeFrom="page">
                <wp:posOffset>7350</wp:posOffset>
              </wp:positionV>
              <wp:extent cx="10763250" cy="167640"/>
              <wp:effectExtent b="0" l="0" r="0" t="0"/>
              <wp:wrapNone/>
              <wp:docPr id="5"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10763250" cy="16764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pBdr>
        <w:top w:space="0" w:sz="0" w:val="nil"/>
        <w:left w:space="0" w:sz="0" w:val="nil"/>
        <w:bottom w:space="0" w:sz="0" w:val="nil"/>
        <w:right w:space="0" w:sz="0" w:val="nil"/>
        <w:between w:space="0" w:sz="0" w:val="nil"/>
      </w:pBdr>
      <w:spacing w:before="640" w:lineRule="auto"/>
      <w:rPr/>
    </w:pPr>
    <w:r w:rsidDel="00000000" w:rsidR="00000000" w:rsidRPr="00000000">
      <w:rPr/>
      <w:drawing>
        <wp:anchor allowOverlap="1" behindDoc="0" distB="114300" distT="114300" distL="114300" distR="114300" hidden="0" layoutInCell="1" locked="0" relativeHeight="0" simplePos="0">
          <wp:simplePos x="0" y="0"/>
          <wp:positionH relativeFrom="page">
            <wp:posOffset>6376988</wp:posOffset>
          </wp:positionH>
          <wp:positionV relativeFrom="page">
            <wp:posOffset>375817</wp:posOffset>
          </wp:positionV>
          <wp:extent cx="3043238" cy="795758"/>
          <wp:effectExtent b="0" l="0" r="0" t="0"/>
          <wp:wrapNone/>
          <wp:docPr id="12" name="image2.png"/>
          <a:graphic>
            <a:graphicData uri="http://schemas.openxmlformats.org/drawingml/2006/picture">
              <pic:pic>
                <pic:nvPicPr>
                  <pic:cNvPr id="0" name="image2.png"/>
                  <pic:cNvPicPr preferRelativeResize="0"/>
                </pic:nvPicPr>
                <pic:blipFill>
                  <a:blip r:embed="rId1"/>
                  <a:srcRect b="85088" l="43428" r="8924" t="6124"/>
                  <a:stretch>
                    <a:fillRect/>
                  </a:stretch>
                </pic:blipFill>
                <pic:spPr>
                  <a:xfrm>
                    <a:off x="0" y="0"/>
                    <a:ext cx="3043238" cy="795758"/>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375</wp:posOffset>
              </wp:positionH>
              <wp:positionV relativeFrom="page">
                <wp:posOffset>-219074</wp:posOffset>
              </wp:positionV>
              <wp:extent cx="10329488" cy="419100"/>
              <wp:effectExtent b="0" l="0" r="0" t="0"/>
              <wp:wrapNone/>
              <wp:docPr id="1" name=""/>
              <a:graphic>
                <a:graphicData uri="http://schemas.microsoft.com/office/word/2010/wordprocessingShape">
                  <wps:wsp>
                    <wps:cNvSpPr/>
                    <wps:cNvPr id="2" name="Shape 2"/>
                    <wps:spPr>
                      <a:xfrm>
                        <a:off x="352400" y="934875"/>
                        <a:ext cx="6938400" cy="401700"/>
                      </a:xfrm>
                      <a:prstGeom prst="rect">
                        <a:avLst/>
                      </a:prstGeom>
                      <a:solidFill>
                        <a:srgbClr val="003C22"/>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375</wp:posOffset>
              </wp:positionH>
              <wp:positionV relativeFrom="page">
                <wp:posOffset>-219074</wp:posOffset>
              </wp:positionV>
              <wp:extent cx="10329488" cy="419100"/>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0329488" cy="419100"/>
                      </a:xfrm>
                      <a:prstGeom prst="rect"/>
                      <a:ln/>
                    </pic:spPr>
                  </pic:pic>
                </a:graphicData>
              </a:graphic>
            </wp:anchor>
          </w:drawing>
        </mc:Fallback>
      </mc:AlternateContent>
    </w:r>
    <w:r w:rsidDel="00000000" w:rsidR="00000000" w:rsidRPr="00000000">
      <w:rPr/>
      <w:drawing>
        <wp:anchor allowOverlap="1" behindDoc="0" distB="114300" distT="114300" distL="114300" distR="114300" hidden="0" layoutInCell="1" locked="0" relativeHeight="0" simplePos="0">
          <wp:simplePos x="0" y="0"/>
          <wp:positionH relativeFrom="page">
            <wp:posOffset>375</wp:posOffset>
          </wp:positionH>
          <wp:positionV relativeFrom="page">
            <wp:posOffset>466725</wp:posOffset>
          </wp:positionV>
          <wp:extent cx="2085600" cy="704850"/>
          <wp:effectExtent b="0" l="0" r="0" t="0"/>
          <wp:wrapNone/>
          <wp:docPr id="13" name="image2.png"/>
          <a:graphic>
            <a:graphicData uri="http://schemas.openxmlformats.org/drawingml/2006/picture">
              <pic:pic>
                <pic:nvPicPr>
                  <pic:cNvPr id="0" name="image2.png"/>
                  <pic:cNvPicPr preferRelativeResize="0"/>
                </pic:nvPicPr>
                <pic:blipFill>
                  <a:blip r:embed="rId1"/>
                  <a:srcRect b="85088" l="0" r="63138" t="6124"/>
                  <a:stretch>
                    <a:fillRect/>
                  </a:stretch>
                </pic:blipFill>
                <pic:spPr>
                  <a:xfrm>
                    <a:off x="0" y="0"/>
                    <a:ext cx="2085600" cy="70485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b w:val="1"/>
      <w:bCs w:val="1"/>
    </w:rPr>
  </w:style>
  <w:style w:type="paragraph" w:styleId="Heading2">
    <w:name w:val="heading 2"/>
    <w:basedOn w:val="Normal"/>
    <w:next w:val="Normal"/>
    <w:pPr>
      <w:keepNext w:val="1"/>
      <w:keepLines w:val="1"/>
    </w:pPr>
    <w:rPr>
      <w:b w:val="1"/>
      <w:bCs w:val="1"/>
    </w:rPr>
  </w:style>
  <w:style w:type="paragraph" w:styleId="Heading3">
    <w:name w:val="heading 3"/>
    <w:basedOn w:val="Normal"/>
    <w:next w:val="Normal"/>
    <w:pPr>
      <w:keepNext w:val="1"/>
      <w:keepLines w:val="1"/>
    </w:pPr>
    <w:rPr>
      <w:b w:val="1"/>
      <w:bCs w:val="1"/>
    </w:rPr>
  </w:style>
  <w:style w:type="paragraph" w:styleId="Heading4">
    <w:name w:val="heading 4"/>
    <w:basedOn w:val="Normal"/>
    <w:next w:val="Normal"/>
    <w:pPr>
      <w:keepNext w:val="1"/>
      <w:keepLines w:val="1"/>
    </w:pPr>
    <w:rPr>
      <w:b w:val="1"/>
      <w:bCs w:val="1"/>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iCs w:val="1"/>
      <w:color w:val="666666"/>
    </w:rPr>
  </w:style>
  <w:style w:type="paragraph" w:styleId="Title">
    <w:name w:val="Title"/>
    <w:basedOn w:val="Normal"/>
    <w:next w:val="Normal"/>
    <w:pPr>
      <w:keepNext w:val="1"/>
      <w:keepLines w:val="1"/>
      <w:ind w:right="-127.79527559055111"/>
      <w:jc w:val="both"/>
    </w:pPr>
    <w:rPr>
      <w:rFonts w:ascii="Arial" w:cs="Arial" w:eastAsia="Arial" w:hAnsi="Arial"/>
      <w:b w:val="1"/>
      <w:bCs w:val="1"/>
      <w:sz w:val="28"/>
      <w:szCs w:val="28"/>
    </w:rPr>
  </w:style>
  <w:style w:type="paragraph" w:styleId="Subtitle">
    <w:name w:val="Subtitle"/>
    <w:basedOn w:val="Normal"/>
    <w:next w:val="Normal"/>
    <w:pPr>
      <w:keepNext w:val="1"/>
      <w:keepLines w:val="1"/>
    </w:pPr>
    <w:rPr>
      <w:b w:val="1"/>
      <w:bCs w:val="1"/>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3" Type="http://schemas.openxmlformats.org/officeDocument/2006/relationships/header" Target="header1.xml"/><Relationship Id="rId8" Type="http://schemas.openxmlformats.org/officeDocument/2006/relationships/hyperlink" Target="https://www.planalto.gov.br/ccivil_03/decreto/1990-1994/d99280.htm#:~:text=DECRETO%20No%2099.280%2C%20DE,Destroem%20a%20Camada%20de%20Oz%C3%B4nio" TargetMode="External"/><Relationship Id="rId18"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hyperlink" Target="https://www.unodc.org/documents/scientific/NPS_2013_SMART.pdf" TargetMode="External"/><Relationship Id="rId7" Type="http://schemas.openxmlformats.org/officeDocument/2006/relationships/hyperlink" Target="http://www.pic.int/Implementation/PICCircular/tabid/1168/language/en-US/Default.aspx" TargetMode="External"/><Relationship Id="rId17"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footer" Target="footer2.xml"/><Relationship Id="rId11" Type="http://schemas.openxmlformats.org/officeDocument/2006/relationships/hyperlink" Target="https://ic.fsc.org/preview.fsc-std-30-001a-en-fsc-list-of-highly-hazardous-pesticides.a-4050.pdf" TargetMode="External"/><Relationship Id="rId1" Type="http://schemas.openxmlformats.org/officeDocument/2006/relationships/theme" Target="theme/theme1.xml"/><Relationship Id="rId6" Type="http://schemas.openxmlformats.org/officeDocument/2006/relationships/hyperlink" Target="http://www.pops.int/TheConvention/Overview/TextoftheConvention/tabid/2232/Default.aspx" TargetMode="External"/><Relationship Id="rId15"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who.int/ipcs/publications/pesticides_hazard_2009.pdf" TargetMode="External"/><Relationship Id="rId19"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hyperlink" Target="http://www.who.int/ipcs/publications/pesticides_hazard_2009.pdf"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06A7CA3D51FD4A82AB449F546FFC05" ma:contentTypeVersion="16" ma:contentTypeDescription="Crie um novo documento." ma:contentTypeScope="" ma:versionID="77ba69f7946e02839f1628816c5edf5f">
  <xsd:schema xmlns:xsd="http://www.w3.org/2001/XMLSchema" xmlns:xs="http://www.w3.org/2001/XMLSchema" xmlns:p="http://schemas.microsoft.com/office/2006/metadata/properties" xmlns:ns2="65786705-ad7b-4721-ae22-82482d1ca77a" xmlns:ns3="d6176c35-5dc9-4f28-829a-20499a127d1d" targetNamespace="http://schemas.microsoft.com/office/2006/metadata/properties" ma:root="true" ma:fieldsID="64a26618c5678e8822fd4b2d4d919dd8" ns2:_="" ns3:_="">
    <xsd:import namespace="65786705-ad7b-4721-ae22-82482d1ca77a"/>
    <xsd:import namespace="d6176c35-5dc9-4f28-829a-20499a127d1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786705-ad7b-4721-ae22-82482d1ca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e097bd28-3fa5-4e9f-8205-9507d9513b2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176c35-5dc9-4f28-829a-20499a127d1d"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c513b6a8-bf6b-4683-959f-e34b4756825c}" ma:internalName="TaxCatchAll" ma:showField="CatchAllData" ma:web="d6176c35-5dc9-4f28-829a-20499a127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6176c35-5dc9-4f28-829a-20499a127d1d" xsi:nil="true"/>
    <lcf76f155ced4ddcb4097134ff3c332f xmlns="65786705-ad7b-4721-ae22-82482d1ca7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22170D-1F9A-49F3-9157-41FA9B5E747E}"/>
</file>

<file path=customXml/itemProps2.xml><?xml version="1.0" encoding="utf-8"?>
<ds:datastoreItem xmlns:ds="http://schemas.openxmlformats.org/officeDocument/2006/customXml" ds:itemID="{D6F9FED2-A084-413E-948B-A809C62ECC5B}"/>
</file>

<file path=customXml/itemProps3.xml><?xml version="1.0" encoding="utf-8"?>
<ds:datastoreItem xmlns:ds="http://schemas.openxmlformats.org/officeDocument/2006/customXml" ds:itemID="{8EF0CB25-7378-4EC0-AB5C-17DD1DDAC6EF}"/>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0x0101009E06A7CA3D51FD4A82AB449F546FFC05</vt:lpwstr>
  </property>
</Properties>
</file>